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5033"/>
        <w:gridCol w:w="5220"/>
      </w:tblGrid>
      <w:tr w:rsidR="00EE24C9" w:rsidRPr="00086BAD" w14:paraId="34252CE2" w14:textId="77777777" w:rsidTr="00340B23">
        <w:trPr>
          <w:trHeight w:val="800"/>
          <w:jc w:val="center"/>
        </w:trPr>
        <w:tc>
          <w:tcPr>
            <w:tcW w:w="5115" w:type="dxa"/>
            <w:vAlign w:val="center"/>
          </w:tcPr>
          <w:p w14:paraId="34252CDF" w14:textId="77777777" w:rsidR="00EE24C9" w:rsidRPr="00086BAD" w:rsidRDefault="00EE24C9" w:rsidP="00AD525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آزمون</w:t>
            </w:r>
          </w:p>
        </w:tc>
        <w:tc>
          <w:tcPr>
            <w:tcW w:w="5033" w:type="dxa"/>
            <w:vAlign w:val="center"/>
          </w:tcPr>
          <w:p w14:paraId="34252CE0" w14:textId="77777777" w:rsidR="00EE24C9" w:rsidRPr="00086BAD" w:rsidRDefault="00EE24C9" w:rsidP="00AD5257">
            <w:pPr>
              <w:bidi/>
              <w:jc w:val="center"/>
              <w:rPr>
                <w:rFonts w:cs="B Titr"/>
                <w:rtl/>
              </w:rPr>
            </w:pPr>
            <w:r w:rsidRPr="00086BAD">
              <w:rPr>
                <w:rFonts w:cs="B Titr" w:hint="cs"/>
                <w:rtl/>
              </w:rPr>
              <w:t>اشکالات فعلی</w:t>
            </w:r>
          </w:p>
        </w:tc>
        <w:tc>
          <w:tcPr>
            <w:tcW w:w="5220" w:type="dxa"/>
            <w:vAlign w:val="center"/>
          </w:tcPr>
          <w:p w14:paraId="34252CE1" w14:textId="77777777" w:rsidR="00EE24C9" w:rsidRPr="00086BAD" w:rsidRDefault="00EE24C9" w:rsidP="00AD5257">
            <w:pPr>
              <w:bidi/>
              <w:jc w:val="center"/>
              <w:rPr>
                <w:rFonts w:cs="B Titr"/>
                <w:rtl/>
              </w:rPr>
            </w:pPr>
            <w:r w:rsidRPr="00086BAD">
              <w:rPr>
                <w:rFonts w:cs="B Titr" w:hint="cs"/>
                <w:rtl/>
              </w:rPr>
              <w:t>پیشنهاد اصلی</w:t>
            </w:r>
          </w:p>
        </w:tc>
      </w:tr>
      <w:tr w:rsidR="00EE24C9" w:rsidRPr="00086BAD" w14:paraId="34252CE8" w14:textId="77777777" w:rsidTr="00340B23">
        <w:trPr>
          <w:trHeight w:val="4220"/>
          <w:jc w:val="center"/>
        </w:trPr>
        <w:tc>
          <w:tcPr>
            <w:tcW w:w="5115" w:type="dxa"/>
            <w:vAlign w:val="center"/>
          </w:tcPr>
          <w:p w14:paraId="34252CE3" w14:textId="77777777" w:rsidR="00EE24C9" w:rsidRPr="00086BAD" w:rsidRDefault="00EE24C9" w:rsidP="00AD5257">
            <w:pPr>
              <w:bidi/>
              <w:jc w:val="center"/>
              <w:rPr>
                <w:rFonts w:cs="B Yagut"/>
                <w:rtl/>
              </w:rPr>
            </w:pPr>
            <w:r w:rsidRPr="00086BAD">
              <w:rPr>
                <w:rFonts w:cs="B Yagut" w:hint="cs"/>
                <w:rtl/>
              </w:rPr>
              <w:t>علوم پایه</w:t>
            </w:r>
          </w:p>
        </w:tc>
        <w:tc>
          <w:tcPr>
            <w:tcW w:w="5033" w:type="dxa"/>
            <w:vAlign w:val="center"/>
          </w:tcPr>
          <w:p w14:paraId="34252CE4" w14:textId="77777777" w:rsidR="00EE24C9" w:rsidRPr="00086BAD" w:rsidRDefault="00EE24C9" w:rsidP="00EE24C9">
            <w:pPr>
              <w:numPr>
                <w:ilvl w:val="0"/>
                <w:numId w:val="1"/>
              </w:numPr>
              <w:bidi/>
              <w:rPr>
                <w:rFonts w:cs="B Yagut"/>
              </w:rPr>
            </w:pPr>
            <w:r w:rsidRPr="00086BAD">
              <w:rPr>
                <w:rFonts w:cs="B Yagut" w:hint="cs"/>
                <w:rtl/>
              </w:rPr>
              <w:t>سوق دادن به سمت حفظیات</w:t>
            </w:r>
          </w:p>
          <w:p w14:paraId="34252CE5" w14:textId="77777777" w:rsidR="00EE24C9" w:rsidRPr="00086BAD" w:rsidRDefault="00EE24C9" w:rsidP="00EE24C9">
            <w:pPr>
              <w:numPr>
                <w:ilvl w:val="0"/>
                <w:numId w:val="1"/>
              </w:numPr>
              <w:bidi/>
              <w:rPr>
                <w:rFonts w:cs="B Yagut"/>
              </w:rPr>
            </w:pPr>
            <w:r w:rsidRPr="00086BAD">
              <w:rPr>
                <w:rFonts w:cs="B Yagut" w:hint="cs"/>
                <w:rtl/>
              </w:rPr>
              <w:t>کم اهمیت شدن نمرات واحدهای دروس علوم پایه</w:t>
            </w:r>
          </w:p>
          <w:p w14:paraId="34252CE6" w14:textId="77777777" w:rsidR="00EE24C9" w:rsidRPr="00086BAD" w:rsidRDefault="00EE24C9" w:rsidP="00EE24C9">
            <w:pPr>
              <w:numPr>
                <w:ilvl w:val="0"/>
                <w:numId w:val="1"/>
              </w:numPr>
              <w:bidi/>
              <w:rPr>
                <w:rFonts w:cs="B Yagut"/>
                <w:rtl/>
              </w:rPr>
            </w:pPr>
            <w:r w:rsidRPr="00086BAD">
              <w:rPr>
                <w:rFonts w:cs="B Yagut" w:hint="cs"/>
                <w:rtl/>
              </w:rPr>
              <w:t>عدم ارزیابی ترکیبی از تلفیق مفاهیم دروس علوم پایه</w:t>
            </w:r>
          </w:p>
        </w:tc>
        <w:tc>
          <w:tcPr>
            <w:tcW w:w="5220" w:type="dxa"/>
            <w:vAlign w:val="center"/>
          </w:tcPr>
          <w:p w14:paraId="34252CE7" w14:textId="1A77914E" w:rsidR="00EE24C9" w:rsidRPr="00086BAD" w:rsidRDefault="00EE24C9" w:rsidP="00340B23">
            <w:pPr>
              <w:bidi/>
              <w:jc w:val="center"/>
              <w:rPr>
                <w:rFonts w:cs="B Yagut"/>
                <w:rtl/>
              </w:rPr>
            </w:pPr>
            <w:r w:rsidRPr="00086BAD">
              <w:rPr>
                <w:rFonts w:cs="B Yagut" w:hint="cs"/>
                <w:rtl/>
              </w:rPr>
              <w:t>براساس نمرات دانشجویان در دروس علوم پایه</w:t>
            </w:r>
            <w:r>
              <w:rPr>
                <w:rFonts w:cs="B Yagut" w:hint="cs"/>
                <w:rtl/>
              </w:rPr>
              <w:t>،</w:t>
            </w:r>
            <w:r w:rsidR="00340B23">
              <w:rPr>
                <w:rFonts w:cs="B Yagut" w:hint="cs"/>
                <w:rtl/>
              </w:rPr>
              <w:t xml:space="preserve"> امتیازی محاسبه شود که در آن 1) سطح نمرات 2) انحراف معیار نمرات 3)</w:t>
            </w:r>
            <w:r w:rsidRPr="00086BAD">
              <w:rPr>
                <w:rFonts w:cs="B Yagut" w:hint="cs"/>
                <w:rtl/>
              </w:rPr>
              <w:t xml:space="preserve"> سطح کلی نمرات دانشجویان هر دانشگاه در مقایسه با سایر دانشگاهها مدنظر باشد. اگر </w:t>
            </w:r>
            <w:r>
              <w:rPr>
                <w:rFonts w:cs="B Yagut" w:hint="cs"/>
                <w:rtl/>
              </w:rPr>
              <w:t>دانشجویانی</w:t>
            </w:r>
            <w:r w:rsidRPr="00086BAD">
              <w:rPr>
                <w:rFonts w:cs="B Yagut" w:hint="cs"/>
                <w:rtl/>
              </w:rPr>
              <w:t xml:space="preserve"> حدنصاب را کسب نکرده بودند یا باید در امتحان علوم </w:t>
            </w:r>
            <w:r>
              <w:rPr>
                <w:rFonts w:cs="B Yagut" w:hint="cs"/>
                <w:rtl/>
              </w:rPr>
              <w:t>پ</w:t>
            </w:r>
            <w:r w:rsidRPr="00086BAD">
              <w:rPr>
                <w:rFonts w:cs="B Yagut" w:hint="cs"/>
                <w:rtl/>
              </w:rPr>
              <w:t>ایه مشابه امتحان جاری شرکت نمایند یا واحد جبرانی بگیرند تا حد نصاب را کسب کنند. توصیه می</w:t>
            </w:r>
            <w:r w:rsidRPr="00086BAD">
              <w:rPr>
                <w:rFonts w:cs="B Yagut"/>
                <w:rtl/>
              </w:rPr>
              <w:softHyphen/>
            </w:r>
            <w:r w:rsidRPr="00086BAD">
              <w:rPr>
                <w:rFonts w:cs="B Yagut" w:hint="cs"/>
                <w:rtl/>
              </w:rPr>
              <w:t>شود تا به جهت ترغیب دانشجویان به فعالیت</w:t>
            </w:r>
            <w:r w:rsidRPr="00086BAD">
              <w:rPr>
                <w:rFonts w:cs="B Yagut"/>
                <w:rtl/>
              </w:rPr>
              <w:softHyphen/>
            </w:r>
            <w:r w:rsidRPr="00086BAD">
              <w:rPr>
                <w:rFonts w:cs="B Yagut" w:hint="cs"/>
                <w:rtl/>
              </w:rPr>
              <w:t>های غیردرسی</w:t>
            </w:r>
            <w:r>
              <w:rPr>
                <w:rFonts w:cs="B Yagut" w:hint="cs"/>
                <w:rtl/>
              </w:rPr>
              <w:t>،</w:t>
            </w:r>
            <w:r w:rsidRPr="00086BAD">
              <w:rPr>
                <w:rFonts w:cs="B Yagut" w:hint="cs"/>
                <w:rtl/>
              </w:rPr>
              <w:t xml:space="preserve"> ده درصد امتیاز تشویق به شکلی اضافه شود که دانشجویان فعال</w:t>
            </w:r>
            <w:r>
              <w:rPr>
                <w:rFonts w:cs="B Yagut" w:hint="cs"/>
                <w:rtl/>
              </w:rPr>
              <w:t>،</w:t>
            </w:r>
            <w:r w:rsidRPr="00086BAD">
              <w:rPr>
                <w:rFonts w:cs="B Yagut" w:hint="cs"/>
                <w:rtl/>
              </w:rPr>
              <w:t xml:space="preserve"> در کانون</w:t>
            </w:r>
            <w:r>
              <w:rPr>
                <w:rFonts w:cs="B Yagut"/>
                <w:rtl/>
              </w:rPr>
              <w:softHyphen/>
            </w:r>
            <w:r>
              <w:rPr>
                <w:rFonts w:cs="B Yagut" w:hint="cs"/>
                <w:rtl/>
              </w:rPr>
              <w:t>ها</w:t>
            </w:r>
            <w:r w:rsidRPr="00086BAD">
              <w:rPr>
                <w:rFonts w:cs="B Yagut" w:hint="cs"/>
                <w:rtl/>
              </w:rPr>
              <w:t xml:space="preserve"> </w:t>
            </w:r>
            <w:r>
              <w:rPr>
                <w:rFonts w:cs="B Yagut" w:hint="cs"/>
                <w:rtl/>
              </w:rPr>
              <w:t>و</w:t>
            </w:r>
            <w:r w:rsidRPr="00086BAD">
              <w:rPr>
                <w:rFonts w:cs="B Yagut" w:hint="cs"/>
                <w:rtl/>
              </w:rPr>
              <w:t xml:space="preserve"> تشکلات دانشجوئی و فعالیت</w:t>
            </w:r>
            <w:r w:rsidRPr="00086BAD">
              <w:rPr>
                <w:rFonts w:cs="B Yagut"/>
                <w:rtl/>
              </w:rPr>
              <w:softHyphen/>
            </w:r>
            <w:r w:rsidRPr="00086BAD">
              <w:rPr>
                <w:rFonts w:cs="B Yagut" w:hint="cs"/>
                <w:rtl/>
              </w:rPr>
              <w:t>های تحقیقات</w:t>
            </w:r>
            <w:r>
              <w:rPr>
                <w:rFonts w:cs="B Yagut" w:hint="cs"/>
                <w:rtl/>
              </w:rPr>
              <w:t>ی</w:t>
            </w:r>
            <w:r w:rsidRPr="00086BAD">
              <w:rPr>
                <w:rFonts w:cs="B Yagut" w:hint="cs"/>
                <w:rtl/>
              </w:rPr>
              <w:t xml:space="preserve"> و عام</w:t>
            </w:r>
            <w:r w:rsidRPr="00086BAD">
              <w:rPr>
                <w:rFonts w:cs="B Yagut"/>
                <w:rtl/>
              </w:rPr>
              <w:softHyphen/>
            </w:r>
            <w:r w:rsidR="00340B23">
              <w:rPr>
                <w:rFonts w:cs="B Yagut" w:hint="cs"/>
                <w:rtl/>
              </w:rPr>
              <w:t>المنفعه برخوردار</w:t>
            </w:r>
            <w:r w:rsidRPr="00086BAD">
              <w:rPr>
                <w:rFonts w:cs="B Yagut" w:hint="cs"/>
                <w:rtl/>
              </w:rPr>
              <w:t xml:space="preserve"> شو</w:t>
            </w:r>
            <w:r>
              <w:rPr>
                <w:rFonts w:cs="B Yagut" w:hint="cs"/>
                <w:rtl/>
              </w:rPr>
              <w:t>ن</w:t>
            </w:r>
            <w:r w:rsidRPr="00086BAD">
              <w:rPr>
                <w:rFonts w:cs="B Yagut" w:hint="cs"/>
                <w:rtl/>
              </w:rPr>
              <w:t>د.</w:t>
            </w:r>
          </w:p>
        </w:tc>
      </w:tr>
      <w:tr w:rsidR="00EE24C9" w:rsidRPr="00086BAD" w14:paraId="34252CEC" w14:textId="77777777" w:rsidTr="00340B23">
        <w:trPr>
          <w:trHeight w:val="1430"/>
          <w:jc w:val="center"/>
        </w:trPr>
        <w:tc>
          <w:tcPr>
            <w:tcW w:w="5115" w:type="dxa"/>
            <w:vAlign w:val="center"/>
          </w:tcPr>
          <w:p w14:paraId="34252CE9" w14:textId="77777777" w:rsidR="00EE24C9" w:rsidRPr="00086BAD" w:rsidRDefault="00EE24C9" w:rsidP="00AD5257">
            <w:pPr>
              <w:bidi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پیش کارورزی</w:t>
            </w:r>
          </w:p>
        </w:tc>
        <w:tc>
          <w:tcPr>
            <w:tcW w:w="5033" w:type="dxa"/>
            <w:vAlign w:val="center"/>
          </w:tcPr>
          <w:p w14:paraId="34252CEA" w14:textId="77777777" w:rsidR="00EE24C9" w:rsidRPr="00086BAD" w:rsidRDefault="00EE24C9" w:rsidP="00EE24C9">
            <w:pPr>
              <w:numPr>
                <w:ilvl w:val="0"/>
                <w:numId w:val="1"/>
              </w:numPr>
              <w:bidi/>
              <w:rPr>
                <w:rFonts w:cs="B Yagut"/>
                <w:rtl/>
              </w:rPr>
            </w:pPr>
            <w:r w:rsidRPr="00086BAD">
              <w:rPr>
                <w:rFonts w:cs="B Yagut" w:hint="cs"/>
                <w:rtl/>
              </w:rPr>
              <w:t>جنبه تئوریک دارد</w:t>
            </w:r>
          </w:p>
        </w:tc>
        <w:tc>
          <w:tcPr>
            <w:tcW w:w="5220" w:type="dxa"/>
            <w:vAlign w:val="center"/>
          </w:tcPr>
          <w:p w14:paraId="34252CEB" w14:textId="77777777" w:rsidR="00EE24C9" w:rsidRPr="00086BAD" w:rsidRDefault="00EE24C9" w:rsidP="00AD5257">
            <w:pPr>
              <w:bidi/>
              <w:jc w:val="center"/>
              <w:rPr>
                <w:rFonts w:cs="B Yagut"/>
                <w:rtl/>
              </w:rPr>
            </w:pPr>
            <w:r w:rsidRPr="00086BAD">
              <w:rPr>
                <w:rFonts w:cs="B Yagut" w:hint="cs"/>
                <w:rtl/>
              </w:rPr>
              <w:t>برگزاری با زیرساخت</w:t>
            </w:r>
            <w:r w:rsidRPr="00086BAD">
              <w:rPr>
                <w:rFonts w:cs="B Yagut"/>
                <w:rtl/>
              </w:rPr>
              <w:softHyphen/>
            </w:r>
            <w:r w:rsidRPr="00086BAD">
              <w:rPr>
                <w:rFonts w:cs="B Yagut" w:hint="cs"/>
                <w:rtl/>
              </w:rPr>
              <w:t>های الکترونیک به شکلی تغییر کند که مهارت</w:t>
            </w:r>
            <w:r w:rsidRPr="00086BAD">
              <w:rPr>
                <w:rFonts w:cs="B Yagut"/>
                <w:rtl/>
              </w:rPr>
              <w:softHyphen/>
            </w:r>
            <w:r w:rsidRPr="00086BAD">
              <w:rPr>
                <w:rFonts w:cs="B Yagut" w:hint="cs"/>
                <w:rtl/>
              </w:rPr>
              <w:t xml:space="preserve">های </w:t>
            </w:r>
            <w:r>
              <w:rPr>
                <w:rFonts w:cs="B Yagut" w:hint="cs"/>
                <w:rtl/>
              </w:rPr>
              <w:t>قضاوت</w:t>
            </w:r>
            <w:r w:rsidRPr="00086BAD">
              <w:rPr>
                <w:rFonts w:cs="B Yagut" w:hint="cs"/>
                <w:rtl/>
              </w:rPr>
              <w:t xml:space="preserve"> بالینی و توانمندی</w:t>
            </w:r>
            <w:r w:rsidRPr="00086BAD">
              <w:rPr>
                <w:rFonts w:cs="B Yagut"/>
                <w:rtl/>
              </w:rPr>
              <w:softHyphen/>
            </w:r>
            <w:r w:rsidRPr="00086BAD">
              <w:rPr>
                <w:rFonts w:cs="B Yagut" w:hint="cs"/>
                <w:rtl/>
              </w:rPr>
              <w:t>های برتر دانشجویان سنجیده شود.</w:t>
            </w:r>
          </w:p>
        </w:tc>
      </w:tr>
      <w:tr w:rsidR="00EE24C9" w:rsidRPr="00086BAD" w14:paraId="34252CF2" w14:textId="77777777" w:rsidTr="00340B23">
        <w:trPr>
          <w:trHeight w:val="1880"/>
          <w:jc w:val="center"/>
        </w:trPr>
        <w:tc>
          <w:tcPr>
            <w:tcW w:w="5115" w:type="dxa"/>
            <w:vAlign w:val="center"/>
          </w:tcPr>
          <w:p w14:paraId="34252CED" w14:textId="77777777" w:rsidR="00EE24C9" w:rsidRPr="00086BAD" w:rsidRDefault="00EE24C9" w:rsidP="00AD5257">
            <w:pPr>
              <w:bidi/>
              <w:jc w:val="center"/>
              <w:rPr>
                <w:rFonts w:cs="B Yagut"/>
                <w:rtl/>
              </w:rPr>
            </w:pPr>
            <w:r w:rsidRPr="00086BAD">
              <w:rPr>
                <w:rFonts w:cs="B Yagut" w:hint="cs"/>
                <w:rtl/>
              </w:rPr>
              <w:t>صلاحیت بالینی</w:t>
            </w:r>
          </w:p>
        </w:tc>
        <w:tc>
          <w:tcPr>
            <w:tcW w:w="5033" w:type="dxa"/>
            <w:vAlign w:val="center"/>
          </w:tcPr>
          <w:p w14:paraId="34252CEE" w14:textId="77777777" w:rsidR="00EE24C9" w:rsidRPr="00086BAD" w:rsidRDefault="00EE24C9" w:rsidP="00EE24C9">
            <w:pPr>
              <w:numPr>
                <w:ilvl w:val="0"/>
                <w:numId w:val="1"/>
              </w:numPr>
              <w:bidi/>
              <w:rPr>
                <w:rFonts w:cs="B Yagut"/>
              </w:rPr>
            </w:pPr>
            <w:r w:rsidRPr="00086BAD">
              <w:rPr>
                <w:rFonts w:cs="B Yagut" w:hint="cs"/>
                <w:rtl/>
              </w:rPr>
              <w:t>در بعضی دانشگاهها جدی گرفته نشده است</w:t>
            </w:r>
          </w:p>
          <w:p w14:paraId="34252CEF" w14:textId="77777777" w:rsidR="00EE24C9" w:rsidRPr="00086BAD" w:rsidRDefault="00EE24C9" w:rsidP="00EE24C9">
            <w:pPr>
              <w:numPr>
                <w:ilvl w:val="0"/>
                <w:numId w:val="1"/>
              </w:numPr>
              <w:bidi/>
              <w:rPr>
                <w:rFonts w:cs="B Yagut"/>
              </w:rPr>
            </w:pPr>
            <w:r w:rsidRPr="00086BAD">
              <w:rPr>
                <w:rFonts w:cs="B Yagut" w:hint="cs"/>
                <w:rtl/>
              </w:rPr>
              <w:t>درصد قبولی در بعضی دانشگاهها تقریبا 100 درصد است</w:t>
            </w:r>
          </w:p>
          <w:p w14:paraId="34252CF0" w14:textId="77777777" w:rsidR="00EE24C9" w:rsidRPr="00086BAD" w:rsidRDefault="00EE24C9" w:rsidP="00EE24C9">
            <w:pPr>
              <w:numPr>
                <w:ilvl w:val="0"/>
                <w:numId w:val="1"/>
              </w:numPr>
              <w:bidi/>
              <w:rPr>
                <w:rFonts w:cs="B Yagut"/>
                <w:rtl/>
              </w:rPr>
            </w:pPr>
            <w:r w:rsidRPr="00086BAD">
              <w:rPr>
                <w:rFonts w:cs="B Yagut" w:hint="cs"/>
                <w:rtl/>
              </w:rPr>
              <w:t>تفاوت بین دانشگاه جدی است</w:t>
            </w:r>
          </w:p>
        </w:tc>
        <w:tc>
          <w:tcPr>
            <w:tcW w:w="5220" w:type="dxa"/>
            <w:vAlign w:val="center"/>
          </w:tcPr>
          <w:p w14:paraId="34252CF1" w14:textId="30D555ED" w:rsidR="00EE24C9" w:rsidRPr="00086BAD" w:rsidRDefault="00EE24C9" w:rsidP="00AD5257">
            <w:pPr>
              <w:bidi/>
              <w:jc w:val="center"/>
              <w:rPr>
                <w:rFonts w:cs="B Yagut"/>
                <w:rtl/>
              </w:rPr>
            </w:pPr>
            <w:r w:rsidRPr="00086BAD">
              <w:rPr>
                <w:rFonts w:cs="B Yagut" w:hint="cs"/>
                <w:rtl/>
              </w:rPr>
              <w:t xml:space="preserve">امتحان دو قسمت شود. قسمت اول مشابه امتحان </w:t>
            </w:r>
            <w:r>
              <w:rPr>
                <w:rFonts w:cs="B Yagut" w:hint="cs"/>
                <w:rtl/>
              </w:rPr>
              <w:t>پیش کارورزی</w:t>
            </w:r>
            <w:r w:rsidRPr="00086BAD">
              <w:rPr>
                <w:rFonts w:cs="B Yagut" w:hint="cs"/>
                <w:rtl/>
              </w:rPr>
              <w:t xml:space="preserve"> تعدیل شده با درجه دشواری بیشتر باشد و قسمت دوم به صورت عملی به شکل آسکی انجام شود ولی جهت جدی تر دیده شدن</w:t>
            </w:r>
            <w:r>
              <w:rPr>
                <w:rFonts w:cs="B Yagut" w:hint="cs"/>
                <w:rtl/>
              </w:rPr>
              <w:t>،</w:t>
            </w:r>
            <w:r w:rsidRPr="00086BAD">
              <w:rPr>
                <w:rFonts w:cs="B Yagut" w:hint="cs"/>
                <w:rtl/>
              </w:rPr>
              <w:t xml:space="preserve"> به شکل کلان منطقه</w:t>
            </w:r>
            <w:r w:rsidRPr="00086BAD">
              <w:rPr>
                <w:rFonts w:cs="B Yagut"/>
                <w:rtl/>
              </w:rPr>
              <w:softHyphen/>
            </w:r>
            <w:r w:rsidR="00340B23">
              <w:rPr>
                <w:rFonts w:cs="B Yagut" w:hint="cs"/>
                <w:rtl/>
              </w:rPr>
              <w:t>ای برگزار</w:t>
            </w:r>
            <w:r w:rsidRPr="00086BAD">
              <w:rPr>
                <w:rFonts w:cs="B Yagut" w:hint="cs"/>
                <w:rtl/>
              </w:rPr>
              <w:t xml:space="preserve"> شود.</w:t>
            </w:r>
          </w:p>
        </w:tc>
      </w:tr>
    </w:tbl>
    <w:p w14:paraId="34252CF3" w14:textId="77777777" w:rsidR="00EE24C9" w:rsidRPr="00665061" w:rsidRDefault="00EE24C9" w:rsidP="00EE24C9">
      <w:pPr>
        <w:bidi/>
      </w:pPr>
    </w:p>
    <w:p w14:paraId="34252CF4" w14:textId="77777777" w:rsidR="0025555A" w:rsidRDefault="0025555A"/>
    <w:sectPr w:rsidR="0025555A" w:rsidSect="00EE24C9">
      <w:headerReference w:type="default" r:id="rId7"/>
      <w:footerReference w:type="even" r:id="rId8"/>
      <w:footerReference w:type="default" r:id="rId9"/>
      <w:pgSz w:w="16838" w:h="11906" w:orient="landscape" w:code="9"/>
      <w:pgMar w:top="720" w:right="720" w:bottom="720" w:left="720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3C34F" w14:textId="77777777" w:rsidR="00D23F65" w:rsidRDefault="00D23F65">
      <w:r>
        <w:separator/>
      </w:r>
    </w:p>
  </w:endnote>
  <w:endnote w:type="continuationSeparator" w:id="0">
    <w:p w14:paraId="68078BC8" w14:textId="77777777" w:rsidR="00D23F65" w:rsidRDefault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52CF6" w14:textId="77777777" w:rsidR="00B30A88" w:rsidRDefault="00EE24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52CF7" w14:textId="77777777" w:rsidR="00B30A88" w:rsidRDefault="00D23F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52CF8" w14:textId="77777777" w:rsidR="00B30A88" w:rsidRDefault="00D23F65">
    <w:pPr>
      <w:pStyle w:val="Footer"/>
      <w:framePr w:wrap="around" w:vAnchor="text" w:hAnchor="margin" w:xAlign="right" w:y="1"/>
      <w:ind w:right="360"/>
      <w:rPr>
        <w:rStyle w:val="PageNumber"/>
        <w:sz w:val="12"/>
        <w:szCs w:val="12"/>
      </w:rPr>
    </w:pPr>
  </w:p>
  <w:p w14:paraId="34252CF9" w14:textId="77777777" w:rsidR="00B30A88" w:rsidRDefault="00EE24C9" w:rsidP="00665061">
    <w:pPr>
      <w:pStyle w:val="Footer"/>
      <w:ind w:right="360"/>
      <w:jc w:val="both"/>
      <w:rPr>
        <w:sz w:val="26"/>
        <w:szCs w:val="28"/>
        <w:rtl/>
      </w:rPr>
    </w:pPr>
    <w:r>
      <w:rPr>
        <w:rFonts w:hint="cs"/>
        <w:sz w:val="26"/>
        <w:szCs w:val="28"/>
        <w:rtl/>
      </w:rPr>
      <w:t xml:space="preserve"> </w:t>
    </w:r>
    <w:r>
      <w:rPr>
        <w:sz w:val="12"/>
        <w:szCs w:val="12"/>
      </w:rPr>
      <w:t xml:space="preserve">page-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 w:rsidR="00340B23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- </w:t>
    </w:r>
    <w:r>
      <w:rPr>
        <w:rFonts w:hint="cs"/>
        <w:sz w:val="10"/>
        <w:szCs w:val="12"/>
        <w:rtl/>
      </w:rPr>
      <w:t xml:space="preserve"> ج اف « </w:t>
    </w:r>
    <w:r>
      <w:rPr>
        <w:rFonts w:hint="cs"/>
        <w:sz w:val="10"/>
        <w:szCs w:val="12"/>
        <w:rtl/>
        <w:lang w:bidi="fa-IR"/>
      </w:rPr>
      <w:t xml:space="preserve">دی </w:t>
    </w:r>
    <w:r>
      <w:rPr>
        <w:rFonts w:hint="cs"/>
        <w:sz w:val="10"/>
        <w:szCs w:val="12"/>
        <w:rtl/>
      </w:rPr>
      <w:t xml:space="preserve"> 99  »</w:t>
    </w:r>
  </w:p>
  <w:p w14:paraId="34252CFA" w14:textId="77777777" w:rsidR="00B30A88" w:rsidRDefault="00EE24C9">
    <w:pPr>
      <w:pStyle w:val="Footer"/>
      <w:ind w:right="360"/>
      <w:jc w:val="both"/>
      <w:rPr>
        <w:sz w:val="12"/>
        <w:szCs w:val="12"/>
      </w:rPr>
    </w:pPr>
    <w:r>
      <w:rPr>
        <w:rFonts w:hint="cs"/>
        <w:sz w:val="12"/>
        <w:szCs w:val="12"/>
        <w:rtl/>
      </w:rPr>
      <w:t xml:space="preserve">  </w:t>
    </w:r>
    <w:r>
      <w:rPr>
        <w:sz w:val="12"/>
        <w:szCs w:val="12"/>
      </w:rPr>
      <w:t xml:space="preserve">        </w:t>
    </w:r>
    <w:r>
      <w:rPr>
        <w:sz w:val="12"/>
        <w:szCs w:val="12"/>
      </w:rPr>
      <w:tab/>
      <w:t xml:space="preserve">            </w:t>
    </w: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B39C2" w14:textId="77777777" w:rsidR="00D23F65" w:rsidRDefault="00D23F65">
      <w:r>
        <w:separator/>
      </w:r>
    </w:p>
  </w:footnote>
  <w:footnote w:type="continuationSeparator" w:id="0">
    <w:p w14:paraId="4AA1CC47" w14:textId="77777777" w:rsidR="00D23F65" w:rsidRDefault="00D2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52CF5" w14:textId="77777777" w:rsidR="00B30A88" w:rsidRDefault="00EE24C9">
    <w:pPr>
      <w:pStyle w:val="Header"/>
      <w:ind w:left="3600"/>
      <w:rPr>
        <w:sz w:val="16"/>
        <w:szCs w:val="16"/>
      </w:rPr>
    </w:pPr>
    <w:r>
      <w:tab/>
    </w:r>
    <w: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E7A10"/>
    <w:multiLevelType w:val="hybridMultilevel"/>
    <w:tmpl w:val="56A44068"/>
    <w:lvl w:ilvl="0" w:tplc="A54A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C9"/>
    <w:rsid w:val="00151560"/>
    <w:rsid w:val="0025555A"/>
    <w:rsid w:val="00340B23"/>
    <w:rsid w:val="00AB1409"/>
    <w:rsid w:val="00D23F65"/>
    <w:rsid w:val="00E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4252CDF"/>
  <w15:chartTrackingRefBased/>
  <w15:docId w15:val="{5F4254BB-1F24-4071-8205-B6829315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24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24C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E24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E24C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E24C9"/>
  </w:style>
  <w:style w:type="table" w:styleId="TableGrid">
    <w:name w:val="Table Grid"/>
    <w:basedOn w:val="TableNormal"/>
    <w:uiPriority w:val="59"/>
    <w:rsid w:val="00EE2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Mahdieh</cp:lastModifiedBy>
  <cp:revision>2</cp:revision>
  <dcterms:created xsi:type="dcterms:W3CDTF">2021-02-05T18:30:00Z</dcterms:created>
  <dcterms:modified xsi:type="dcterms:W3CDTF">2021-02-05T18:30:00Z</dcterms:modified>
</cp:coreProperties>
</file>